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Charitable Giving Script:</w:t>
      </w:r>
    </w:p>
    <w:p w:rsidR="00000000" w:rsidDel="00000000" w:rsidP="00000000" w:rsidRDefault="00000000" w:rsidRPr="00000000" w14:paraId="00000002">
      <w:pPr>
        <w:rPr/>
      </w:pPr>
      <w:r w:rsidDel="00000000" w:rsidR="00000000" w:rsidRPr="00000000">
        <w:rPr>
          <w:rtl w:val="0"/>
        </w:rPr>
        <w:t xml:space="preserve">Make it your own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Ron Kyzar here.  A proud 1979 graduate of Mississippi College.  Did you hear about what the late Mr. Leland Speed did for the College?  He left an incredible gift to our school providing a path for students who wish to pursue the path of College at MC, a way to do it.  Now, that gift will only help students who come from Mississippi.  It got me to thinking... why don't you and I take that same approach of giving to the school that made us who we are today?  Gifting to our school helps provide the legacy going on and on for decades to come to help students from all over the world to be a part of Mississippi College.  Click the link below and let's dive into the potential of what we can do.</w:t>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